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drawing>
          <wp:inline distT="0" distB="0" distL="114300" distR="114300">
            <wp:extent cx="1296035" cy="1893570"/>
            <wp:effectExtent l="0" t="0" r="14605" b="11430"/>
            <wp:docPr id="13" name="图片 13" descr="徐国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徐国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Xu Guoyi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Assistant Professor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Innovation Team of Cultivation Physiology and Techniques of Drupe Fruit Trees, ZFRI, CAAS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Contact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Email: 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HYPERLINK "mailto:xuguoyi@caas.cn"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cs="Times New Roman"/>
          <w:sz w:val="21"/>
          <w:szCs w:val="21"/>
        </w:rPr>
        <w:t>xuguoyi@caas.cn</w:t>
      </w:r>
      <w:r>
        <w:rPr>
          <w:rStyle w:val="4"/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1"/>
          <w:szCs w:val="21"/>
        </w:rPr>
        <w:t>Research Interests</w:t>
      </w:r>
    </w:p>
    <w:bookmarkEnd w:id="0"/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Development and application of new fertilizer for fruit trees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2E2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2023-06-02T09:40:19Z</dcterms:created>
  <dc:creator>Administrator</dc:creator>
  <cp:lastModifiedBy>MCHI</cp:lastModifiedBy>
  <dcterms:modified xsi:type="dcterms:W3CDTF">2023-06-02T09:41:09Z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3FAE8653321243A790CE417E4B5536FC_12</vt:lpwstr>
  </property>
</Properties>
</file>