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189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4" w:hRule="atLeast"/>
        </w:trPr>
        <w:tc>
          <w:tcPr>
            <w:tcW w:w="2117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02055" cy="1807210"/>
                  <wp:effectExtent l="0" t="0" r="17145" b="2540"/>
                  <wp:docPr id="1" name="图片 1" descr="微信图片_2021102708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10270832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180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Zhang Peng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Innovation Team of Grape Genetic Resources and Breeding, ZF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RI, CAAS</w:t>
            </w:r>
          </w:p>
        </w:tc>
        <w:tc>
          <w:tcPr>
            <w:tcW w:w="2990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zhangpenghome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om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86-371-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65330969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Add: Zhengzhou fruit research institute, Hanghai Donglu, Guancheng District, Zhengzhou, Henan,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Research Interests</w:t>
            </w:r>
          </w:p>
          <w:bookmarkEnd w:id="0"/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Selection and breeding of new grape varieties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Grape </w:t>
            </w:r>
            <w:r>
              <w:t>cultivation techniques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Selected Publications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Breeding report of a new table grape cultivar ‘Zhongputao No. 12’ (CN)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Fruit Science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Journal Article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 10.13925/j.cnki.gsxb.20190412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new table grape variety </w:t>
            </w:r>
            <w:bookmarkStart w:id="1" w:name="OLE_LINK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‘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Zhongputao No.10</w:t>
            </w:r>
            <w:bookmarkStart w:id="2" w:name="OLE_LINK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 (CN)</w:t>
            </w:r>
            <w:bookmarkEnd w:id="2"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4"/>
            <w:r>
              <w:rPr>
                <w:rFonts w:ascii="Times New Roman" w:hAnsi="Times New Roman" w:cs="Times New Roman"/>
                <w:sz w:val="24"/>
                <w:szCs w:val="24"/>
              </w:rPr>
              <w:t>Journal of Fruit Science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 Journal Article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 10.13925/j.cnki.gsxb.20190411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A new late-maturing grape cultivar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‘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Shuijinghong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 (CN)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Fruit Science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Journal Article</w:t>
            </w:r>
          </w:p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 10.13925/j.cnki.gsxb.201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0C095F54"/>
    <w:rsid w:val="245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2023-05-05T08:58:00Z</dcterms:created>
  <dc:creator>putaoyuzhong</dc:creator>
  <cp:lastModifiedBy>章</cp:lastModifiedBy>
  <dcterms:modified xsi:type="dcterms:W3CDTF">2023-05-05T09:38:37Z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A3BD1AADDD554B2E932C496D27AAF635_12</vt:lpwstr>
  </property>
</Properties>
</file>